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B32577" w14:textId="3F731C31" w:rsidR="006A1372" w:rsidRPr="006A1372" w:rsidRDefault="006A1372" w:rsidP="006A1372">
      <w:pPr>
        <w:spacing w:before="100" w:beforeAutospacing="1" w:after="100" w:afterAutospacing="1" w:line="240" w:lineRule="auto"/>
        <w:outlineLvl w:val="2"/>
        <w:rPr>
          <w:rFonts w:ascii="Arial" w:eastAsia="Times New Roman" w:hAnsi="Arial" w:cs="Arial"/>
          <w:b/>
          <w:bCs/>
          <w:kern w:val="0"/>
          <w:sz w:val="27"/>
          <w:szCs w:val="27"/>
          <w:lang w:eastAsia="en-GB"/>
          <w14:ligatures w14:val="none"/>
        </w:rPr>
      </w:pPr>
      <w:r w:rsidRPr="006A1372">
        <w:rPr>
          <w:rFonts w:ascii="Arial" w:eastAsia="Times New Roman" w:hAnsi="Arial" w:cs="Arial"/>
          <w:b/>
          <w:bCs/>
          <w:kern w:val="0"/>
          <w:sz w:val="27"/>
          <w:szCs w:val="27"/>
          <w:lang w:eastAsia="en-GB"/>
          <w14:ligatures w14:val="none"/>
        </w:rPr>
        <w:t>Introduction</w:t>
      </w:r>
    </w:p>
    <w:p w14:paraId="1FB10998" w14:textId="77777777" w:rsidR="006A1372" w:rsidRPr="006A1372" w:rsidRDefault="006A1372" w:rsidP="006A1372">
      <w:pPr>
        <w:spacing w:before="100" w:beforeAutospacing="1" w:after="100" w:afterAutospacing="1" w:line="240" w:lineRule="auto"/>
        <w:outlineLvl w:val="3"/>
        <w:rPr>
          <w:rFonts w:ascii="Arial" w:eastAsia="Times New Roman" w:hAnsi="Arial" w:cs="Arial"/>
          <w:b/>
          <w:bCs/>
          <w:kern w:val="0"/>
          <w:sz w:val="24"/>
          <w:szCs w:val="24"/>
          <w:lang w:eastAsia="en-GB"/>
          <w14:ligatures w14:val="none"/>
        </w:rPr>
      </w:pPr>
      <w:r w:rsidRPr="006A1372">
        <w:rPr>
          <w:rFonts w:ascii="Arial" w:eastAsia="Times New Roman" w:hAnsi="Arial" w:cs="Arial"/>
          <w:b/>
          <w:bCs/>
          <w:kern w:val="0"/>
          <w:sz w:val="24"/>
          <w:szCs w:val="24"/>
          <w:lang w:eastAsia="en-GB"/>
          <w14:ligatures w14:val="none"/>
        </w:rPr>
        <w:t>Purpose</w:t>
      </w:r>
    </w:p>
    <w:p w14:paraId="65C9CB02" w14:textId="77777777" w:rsidR="006A1372" w:rsidRP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 xml:space="preserve">This paper provides an overview of the </w:t>
      </w:r>
      <w:r w:rsidRPr="006A1372">
        <w:rPr>
          <w:rFonts w:ascii="Arial" w:eastAsia="Times New Roman" w:hAnsi="Arial" w:cs="Arial"/>
          <w:b/>
          <w:bCs/>
          <w:kern w:val="0"/>
          <w:sz w:val="24"/>
          <w:szCs w:val="24"/>
          <w:lang w:eastAsia="en-GB"/>
          <w14:ligatures w14:val="none"/>
        </w:rPr>
        <w:t>Digital Operational Resilience Act (DORA)</w:t>
      </w:r>
      <w:r w:rsidRPr="006A1372">
        <w:rPr>
          <w:rFonts w:ascii="Arial" w:eastAsia="Times New Roman" w:hAnsi="Arial" w:cs="Arial"/>
          <w:kern w:val="0"/>
          <w:sz w:val="24"/>
          <w:szCs w:val="24"/>
          <w:lang w:eastAsia="en-GB"/>
          <w14:ligatures w14:val="none"/>
        </w:rPr>
        <w:t>, analysing its key provisions and implications for financial entities and ICT service providers. DORA is designed to enhance the operational resilience of the financial sector by ensuring organisations implement robust risk management frameworks, ICT governance structures, and incident reporting mechanisms.</w:t>
      </w:r>
    </w:p>
    <w:p w14:paraId="097DEDD0" w14:textId="77777777" w:rsidR="006A1372" w:rsidRP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This document presents a generalised assessment of DORA’s requirements, highlighting its impact on organisations operating within the European Union (EU) financial ecosystem and beyond.</w:t>
      </w:r>
    </w:p>
    <w:p w14:paraId="3F18EF1F" w14:textId="77777777" w:rsidR="006A1372" w:rsidRPr="006A1372" w:rsidRDefault="006A1372" w:rsidP="006A1372">
      <w:pPr>
        <w:spacing w:before="100" w:beforeAutospacing="1" w:after="100" w:afterAutospacing="1" w:line="240" w:lineRule="auto"/>
        <w:outlineLvl w:val="3"/>
        <w:rPr>
          <w:rFonts w:ascii="Arial" w:eastAsia="Times New Roman" w:hAnsi="Arial" w:cs="Arial"/>
          <w:b/>
          <w:bCs/>
          <w:kern w:val="0"/>
          <w:sz w:val="24"/>
          <w:szCs w:val="24"/>
          <w:lang w:eastAsia="en-GB"/>
          <w14:ligatures w14:val="none"/>
        </w:rPr>
      </w:pPr>
      <w:r w:rsidRPr="006A1372">
        <w:rPr>
          <w:rFonts w:ascii="Arial" w:eastAsia="Times New Roman" w:hAnsi="Arial" w:cs="Arial"/>
          <w:b/>
          <w:bCs/>
          <w:kern w:val="0"/>
          <w:sz w:val="24"/>
          <w:szCs w:val="24"/>
          <w:lang w:eastAsia="en-GB"/>
          <w14:ligatures w14:val="none"/>
        </w:rPr>
        <w:t>Disclaimer</w:t>
      </w:r>
    </w:p>
    <w:p w14:paraId="3A9A58B2" w14:textId="77777777" w:rsidR="006A1372" w:rsidRP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The information contained in this paper is for informational purposes only and should not be considered legal or regulatory advice.</w:t>
      </w:r>
    </w:p>
    <w:p w14:paraId="4E4975BC" w14:textId="061AA879" w:rsidR="006A1372" w:rsidRPr="006A1372" w:rsidRDefault="006A1372" w:rsidP="006A1372">
      <w:pPr>
        <w:spacing w:after="0" w:line="240" w:lineRule="auto"/>
        <w:rPr>
          <w:rFonts w:ascii="Arial" w:eastAsia="Times New Roman" w:hAnsi="Arial" w:cs="Arial"/>
          <w:kern w:val="0"/>
          <w:sz w:val="24"/>
          <w:szCs w:val="24"/>
          <w:lang w:eastAsia="en-GB"/>
          <w14:ligatures w14:val="none"/>
        </w:rPr>
      </w:pPr>
    </w:p>
    <w:p w14:paraId="73369BAA" w14:textId="77777777" w:rsidR="006A1372" w:rsidRPr="006A1372" w:rsidRDefault="006A1372" w:rsidP="006A1372">
      <w:pPr>
        <w:spacing w:before="100" w:beforeAutospacing="1" w:after="100" w:afterAutospacing="1" w:line="240" w:lineRule="auto"/>
        <w:outlineLvl w:val="2"/>
        <w:rPr>
          <w:rFonts w:ascii="Arial" w:eastAsia="Times New Roman" w:hAnsi="Arial" w:cs="Arial"/>
          <w:b/>
          <w:bCs/>
          <w:kern w:val="0"/>
          <w:sz w:val="27"/>
          <w:szCs w:val="27"/>
          <w:lang w:eastAsia="en-GB"/>
          <w14:ligatures w14:val="none"/>
        </w:rPr>
      </w:pPr>
      <w:r w:rsidRPr="006A1372">
        <w:rPr>
          <w:rFonts w:ascii="Arial" w:eastAsia="Times New Roman" w:hAnsi="Arial" w:cs="Arial"/>
          <w:b/>
          <w:bCs/>
          <w:kern w:val="0"/>
          <w:sz w:val="27"/>
          <w:szCs w:val="27"/>
          <w:lang w:eastAsia="en-GB"/>
          <w14:ligatures w14:val="none"/>
        </w:rPr>
        <w:t>Executive Summary</w:t>
      </w:r>
    </w:p>
    <w:p w14:paraId="10FEB7F4" w14:textId="77777777" w:rsidR="006A1372" w:rsidRP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 xml:space="preserve">DORA comes into effect on </w:t>
      </w:r>
      <w:r w:rsidRPr="006A1372">
        <w:rPr>
          <w:rFonts w:ascii="Arial" w:eastAsia="Times New Roman" w:hAnsi="Arial" w:cs="Arial"/>
          <w:b/>
          <w:bCs/>
          <w:kern w:val="0"/>
          <w:sz w:val="24"/>
          <w:szCs w:val="24"/>
          <w:lang w:eastAsia="en-GB"/>
          <w14:ligatures w14:val="none"/>
        </w:rPr>
        <w:t>17 January 2025</w:t>
      </w:r>
      <w:r w:rsidRPr="006A1372">
        <w:rPr>
          <w:rFonts w:ascii="Arial" w:eastAsia="Times New Roman" w:hAnsi="Arial" w:cs="Arial"/>
          <w:kern w:val="0"/>
          <w:sz w:val="24"/>
          <w:szCs w:val="24"/>
          <w:lang w:eastAsia="en-GB"/>
          <w14:ligatures w14:val="none"/>
        </w:rPr>
        <w:t xml:space="preserve">, introducing stringent requirements for financial entities and ICT service providers. Organisations failing to comply could face fines of up to </w:t>
      </w:r>
      <w:r w:rsidRPr="006A1372">
        <w:rPr>
          <w:rFonts w:ascii="Arial" w:eastAsia="Times New Roman" w:hAnsi="Arial" w:cs="Arial"/>
          <w:b/>
          <w:bCs/>
          <w:kern w:val="0"/>
          <w:sz w:val="24"/>
          <w:szCs w:val="24"/>
          <w:lang w:eastAsia="en-GB"/>
          <w14:ligatures w14:val="none"/>
        </w:rPr>
        <w:t>2% of annual turnover</w:t>
      </w:r>
      <w:r w:rsidRPr="006A1372">
        <w:rPr>
          <w:rFonts w:ascii="Arial" w:eastAsia="Times New Roman" w:hAnsi="Arial" w:cs="Arial"/>
          <w:kern w:val="0"/>
          <w:sz w:val="24"/>
          <w:szCs w:val="24"/>
          <w:lang w:eastAsia="en-GB"/>
          <w14:ligatures w14:val="none"/>
        </w:rPr>
        <w:t>.</w:t>
      </w:r>
    </w:p>
    <w:p w14:paraId="16E3D466" w14:textId="77777777" w:rsidR="006A1372" w:rsidRP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The act aims to legislate best practices in ICT governance, security, and resilience. Key compliance areas include:</w:t>
      </w:r>
    </w:p>
    <w:p w14:paraId="3D580ED8" w14:textId="77777777" w:rsidR="006A1372" w:rsidRPr="006A1372" w:rsidRDefault="006A1372" w:rsidP="006A1372">
      <w:pPr>
        <w:numPr>
          <w:ilvl w:val="0"/>
          <w:numId w:val="1"/>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b/>
          <w:bCs/>
          <w:kern w:val="0"/>
          <w:sz w:val="24"/>
          <w:szCs w:val="24"/>
          <w:lang w:eastAsia="en-GB"/>
          <w14:ligatures w14:val="none"/>
        </w:rPr>
        <w:t>Incident reporting</w:t>
      </w:r>
      <w:r w:rsidRPr="006A1372">
        <w:rPr>
          <w:rFonts w:ascii="Arial" w:eastAsia="Times New Roman" w:hAnsi="Arial" w:cs="Arial"/>
          <w:kern w:val="0"/>
          <w:sz w:val="24"/>
          <w:szCs w:val="24"/>
          <w:lang w:eastAsia="en-GB"/>
          <w14:ligatures w14:val="none"/>
        </w:rPr>
        <w:t xml:space="preserve"> – Establishing structured logging and response mechanisms.</w:t>
      </w:r>
    </w:p>
    <w:p w14:paraId="763E3A60" w14:textId="77777777" w:rsidR="006A1372" w:rsidRPr="006A1372" w:rsidRDefault="006A1372" w:rsidP="006A1372">
      <w:pPr>
        <w:numPr>
          <w:ilvl w:val="0"/>
          <w:numId w:val="1"/>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b/>
          <w:bCs/>
          <w:kern w:val="0"/>
          <w:sz w:val="24"/>
          <w:szCs w:val="24"/>
          <w:lang w:eastAsia="en-GB"/>
          <w14:ligatures w14:val="none"/>
        </w:rPr>
        <w:t>Risk management frameworks</w:t>
      </w:r>
      <w:r w:rsidRPr="006A1372">
        <w:rPr>
          <w:rFonts w:ascii="Arial" w:eastAsia="Times New Roman" w:hAnsi="Arial" w:cs="Arial"/>
          <w:kern w:val="0"/>
          <w:sz w:val="24"/>
          <w:szCs w:val="24"/>
          <w:lang w:eastAsia="en-GB"/>
          <w14:ligatures w14:val="none"/>
        </w:rPr>
        <w:t xml:space="preserve"> – Defining ICT risks and aligning them with business operations.</w:t>
      </w:r>
    </w:p>
    <w:p w14:paraId="4C5260C5" w14:textId="77777777" w:rsidR="006A1372" w:rsidRPr="006A1372" w:rsidRDefault="006A1372" w:rsidP="006A1372">
      <w:pPr>
        <w:numPr>
          <w:ilvl w:val="0"/>
          <w:numId w:val="1"/>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b/>
          <w:bCs/>
          <w:kern w:val="0"/>
          <w:sz w:val="24"/>
          <w:szCs w:val="24"/>
          <w:lang w:eastAsia="en-GB"/>
          <w14:ligatures w14:val="none"/>
        </w:rPr>
        <w:t>Operational resilience</w:t>
      </w:r>
      <w:r w:rsidRPr="006A1372">
        <w:rPr>
          <w:rFonts w:ascii="Arial" w:eastAsia="Times New Roman" w:hAnsi="Arial" w:cs="Arial"/>
          <w:kern w:val="0"/>
          <w:sz w:val="24"/>
          <w:szCs w:val="24"/>
          <w:lang w:eastAsia="en-GB"/>
          <w14:ligatures w14:val="none"/>
        </w:rPr>
        <w:t xml:space="preserve"> – Ensuring financial entities can withstand ICT disruptions.</w:t>
      </w:r>
    </w:p>
    <w:p w14:paraId="0F5754FD" w14:textId="77777777" w:rsidR="006A1372" w:rsidRPr="006A1372" w:rsidRDefault="006A1372" w:rsidP="006A1372">
      <w:pPr>
        <w:numPr>
          <w:ilvl w:val="0"/>
          <w:numId w:val="1"/>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b/>
          <w:bCs/>
          <w:kern w:val="0"/>
          <w:sz w:val="24"/>
          <w:szCs w:val="24"/>
          <w:lang w:eastAsia="en-GB"/>
          <w14:ligatures w14:val="none"/>
        </w:rPr>
        <w:t>ICT third-party risk management</w:t>
      </w:r>
      <w:r w:rsidRPr="006A1372">
        <w:rPr>
          <w:rFonts w:ascii="Arial" w:eastAsia="Times New Roman" w:hAnsi="Arial" w:cs="Arial"/>
          <w:kern w:val="0"/>
          <w:sz w:val="24"/>
          <w:szCs w:val="24"/>
          <w:lang w:eastAsia="en-GB"/>
          <w14:ligatures w14:val="none"/>
        </w:rPr>
        <w:t xml:space="preserve"> – Addressing dependencies on external service providers.</w:t>
      </w:r>
    </w:p>
    <w:p w14:paraId="24642536" w14:textId="77777777" w:rsidR="006A1372" w:rsidRPr="006A1372" w:rsidRDefault="006A1372" w:rsidP="006A1372">
      <w:pPr>
        <w:numPr>
          <w:ilvl w:val="0"/>
          <w:numId w:val="1"/>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b/>
          <w:bCs/>
          <w:kern w:val="0"/>
          <w:sz w:val="24"/>
          <w:szCs w:val="24"/>
          <w:lang w:eastAsia="en-GB"/>
          <w14:ligatures w14:val="none"/>
        </w:rPr>
        <w:t>Information sharing</w:t>
      </w:r>
      <w:r w:rsidRPr="006A1372">
        <w:rPr>
          <w:rFonts w:ascii="Arial" w:eastAsia="Times New Roman" w:hAnsi="Arial" w:cs="Arial"/>
          <w:kern w:val="0"/>
          <w:sz w:val="24"/>
          <w:szCs w:val="24"/>
          <w:lang w:eastAsia="en-GB"/>
          <w14:ligatures w14:val="none"/>
        </w:rPr>
        <w:t xml:space="preserve"> – Encouraging financial entities to share cyber threat intelligence.</w:t>
      </w:r>
    </w:p>
    <w:p w14:paraId="30F43E0B" w14:textId="77777777" w:rsidR="006A1372" w:rsidRP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DORA enforces practices that should already be standard in ICT governance, making them legally mandatory across financial entities.</w:t>
      </w:r>
    </w:p>
    <w:p w14:paraId="24FCF308" w14:textId="3BECCA53" w:rsidR="006A1372" w:rsidRDefault="006A1372" w:rsidP="006A1372">
      <w:pPr>
        <w:spacing w:after="0" w:line="240" w:lineRule="auto"/>
        <w:rPr>
          <w:rFonts w:ascii="Arial" w:eastAsia="Times New Roman" w:hAnsi="Arial" w:cs="Arial"/>
          <w:kern w:val="0"/>
          <w:sz w:val="24"/>
          <w:szCs w:val="24"/>
          <w:lang w:eastAsia="en-GB"/>
          <w14:ligatures w14:val="none"/>
        </w:rPr>
      </w:pPr>
    </w:p>
    <w:p w14:paraId="600AF443" w14:textId="77777777" w:rsidR="006A1372" w:rsidRDefault="006A1372" w:rsidP="006A1372">
      <w:pPr>
        <w:spacing w:after="0" w:line="240" w:lineRule="auto"/>
        <w:rPr>
          <w:rFonts w:ascii="Arial" w:eastAsia="Times New Roman" w:hAnsi="Arial" w:cs="Arial"/>
          <w:kern w:val="0"/>
          <w:sz w:val="24"/>
          <w:szCs w:val="24"/>
          <w:lang w:eastAsia="en-GB"/>
          <w14:ligatures w14:val="none"/>
        </w:rPr>
      </w:pPr>
    </w:p>
    <w:p w14:paraId="467F4609" w14:textId="77777777" w:rsidR="006A1372" w:rsidRDefault="006A1372" w:rsidP="006A1372">
      <w:pPr>
        <w:spacing w:after="0" w:line="240" w:lineRule="auto"/>
        <w:rPr>
          <w:rFonts w:ascii="Arial" w:eastAsia="Times New Roman" w:hAnsi="Arial" w:cs="Arial"/>
          <w:kern w:val="0"/>
          <w:sz w:val="24"/>
          <w:szCs w:val="24"/>
          <w:lang w:eastAsia="en-GB"/>
          <w14:ligatures w14:val="none"/>
        </w:rPr>
      </w:pPr>
    </w:p>
    <w:p w14:paraId="170434E1" w14:textId="77777777" w:rsidR="006A1372" w:rsidRDefault="006A1372" w:rsidP="006A1372">
      <w:pPr>
        <w:spacing w:before="100" w:beforeAutospacing="1" w:after="100" w:afterAutospacing="1" w:line="240" w:lineRule="auto"/>
        <w:outlineLvl w:val="2"/>
        <w:rPr>
          <w:rFonts w:ascii="Arial" w:eastAsia="Times New Roman" w:hAnsi="Arial" w:cs="Arial"/>
          <w:b/>
          <w:bCs/>
          <w:kern w:val="0"/>
          <w:sz w:val="27"/>
          <w:szCs w:val="27"/>
          <w:lang w:eastAsia="en-GB"/>
          <w14:ligatures w14:val="none"/>
        </w:rPr>
      </w:pPr>
      <w:r w:rsidRPr="006A1372">
        <w:rPr>
          <w:rFonts w:ascii="Arial" w:eastAsia="Times New Roman" w:hAnsi="Arial" w:cs="Arial"/>
          <w:b/>
          <w:bCs/>
          <w:kern w:val="0"/>
          <w:sz w:val="27"/>
          <w:szCs w:val="27"/>
          <w:lang w:eastAsia="en-GB"/>
          <w14:ligatures w14:val="none"/>
        </w:rPr>
        <w:lastRenderedPageBreak/>
        <w:t>Key Compliance Areas</w:t>
      </w:r>
    </w:p>
    <w:p w14:paraId="30DC84E6" w14:textId="77777777" w:rsidR="006A1372" w:rsidRPr="006A1372" w:rsidRDefault="006A1372" w:rsidP="006A1372">
      <w:pPr>
        <w:spacing w:before="100" w:beforeAutospacing="1" w:after="100" w:afterAutospacing="1" w:line="240" w:lineRule="auto"/>
        <w:outlineLvl w:val="2"/>
        <w:rPr>
          <w:rFonts w:ascii="Arial" w:eastAsia="Times New Roman" w:hAnsi="Arial" w:cs="Arial"/>
          <w:b/>
          <w:bCs/>
          <w:kern w:val="0"/>
          <w:sz w:val="27"/>
          <w:szCs w:val="27"/>
          <w:lang w:eastAsia="en-GB"/>
          <w14:ligatures w14:val="none"/>
        </w:rPr>
      </w:pPr>
    </w:p>
    <w:p w14:paraId="176D4D58" w14:textId="77777777" w:rsidR="006A1372" w:rsidRPr="006A1372" w:rsidRDefault="006A1372" w:rsidP="006A1372">
      <w:pPr>
        <w:spacing w:before="100" w:beforeAutospacing="1" w:after="100" w:afterAutospacing="1" w:line="240" w:lineRule="auto"/>
        <w:outlineLvl w:val="3"/>
        <w:rPr>
          <w:rFonts w:ascii="Arial" w:eastAsia="Times New Roman" w:hAnsi="Arial" w:cs="Arial"/>
          <w:b/>
          <w:bCs/>
          <w:kern w:val="0"/>
          <w:sz w:val="24"/>
          <w:szCs w:val="24"/>
          <w:lang w:eastAsia="en-GB"/>
          <w14:ligatures w14:val="none"/>
        </w:rPr>
      </w:pPr>
      <w:r w:rsidRPr="006A1372">
        <w:rPr>
          <w:rFonts w:ascii="Arial" w:eastAsia="Times New Roman" w:hAnsi="Arial" w:cs="Arial"/>
          <w:b/>
          <w:bCs/>
          <w:kern w:val="0"/>
          <w:sz w:val="24"/>
          <w:szCs w:val="24"/>
          <w:lang w:eastAsia="en-GB"/>
          <w14:ligatures w14:val="none"/>
        </w:rPr>
        <w:t>Incident Reporting</w:t>
      </w:r>
    </w:p>
    <w:p w14:paraId="573CE5E2" w14:textId="77777777" w:rsidR="006A1372" w:rsidRP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DORA mandates efficient logging and reporting of ICT-related incidents to ensure a coordinated response to cyber threats and operational failures. This includes:</w:t>
      </w:r>
    </w:p>
    <w:p w14:paraId="564C02CA" w14:textId="77777777" w:rsidR="006A1372" w:rsidRPr="006A1372" w:rsidRDefault="006A1372" w:rsidP="006A1372">
      <w:pPr>
        <w:numPr>
          <w:ilvl w:val="0"/>
          <w:numId w:val="2"/>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Real-time monitoring and logging of security events.</w:t>
      </w:r>
    </w:p>
    <w:p w14:paraId="3D13EA9B" w14:textId="77777777" w:rsidR="006A1372" w:rsidRPr="006A1372" w:rsidRDefault="006A1372" w:rsidP="006A1372">
      <w:pPr>
        <w:numPr>
          <w:ilvl w:val="0"/>
          <w:numId w:val="2"/>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Defined procedures for categorising and escalating incidents.</w:t>
      </w:r>
    </w:p>
    <w:p w14:paraId="401C1360" w14:textId="77777777" w:rsidR="006A1372" w:rsidRPr="006A1372" w:rsidRDefault="006A1372" w:rsidP="006A1372">
      <w:pPr>
        <w:numPr>
          <w:ilvl w:val="0"/>
          <w:numId w:val="2"/>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Timely reporting to relevant authorities.</w:t>
      </w:r>
    </w:p>
    <w:p w14:paraId="10202644" w14:textId="77777777" w:rsid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Organisations must implement automated detection tools and comprehensive logging mechanisms to ensure compliance.</w:t>
      </w:r>
    </w:p>
    <w:p w14:paraId="27F584D9" w14:textId="77777777" w:rsidR="006A1372" w:rsidRP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p>
    <w:p w14:paraId="3C68B0C1" w14:textId="77777777" w:rsidR="006A1372" w:rsidRPr="006A1372" w:rsidRDefault="006A1372" w:rsidP="006A1372">
      <w:pPr>
        <w:spacing w:before="100" w:beforeAutospacing="1" w:after="100" w:afterAutospacing="1" w:line="240" w:lineRule="auto"/>
        <w:outlineLvl w:val="3"/>
        <w:rPr>
          <w:rFonts w:ascii="Arial" w:eastAsia="Times New Roman" w:hAnsi="Arial" w:cs="Arial"/>
          <w:b/>
          <w:bCs/>
          <w:kern w:val="0"/>
          <w:sz w:val="24"/>
          <w:szCs w:val="24"/>
          <w:lang w:eastAsia="en-GB"/>
          <w14:ligatures w14:val="none"/>
        </w:rPr>
      </w:pPr>
      <w:r w:rsidRPr="006A1372">
        <w:rPr>
          <w:rFonts w:ascii="Arial" w:eastAsia="Times New Roman" w:hAnsi="Arial" w:cs="Arial"/>
          <w:b/>
          <w:bCs/>
          <w:kern w:val="0"/>
          <w:sz w:val="24"/>
          <w:szCs w:val="24"/>
          <w:lang w:eastAsia="en-GB"/>
          <w14:ligatures w14:val="none"/>
        </w:rPr>
        <w:t>Risk Management Framework</w:t>
      </w:r>
    </w:p>
    <w:p w14:paraId="1751C2D8" w14:textId="77777777" w:rsidR="006A1372" w:rsidRP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Financial entities are required to establish formal risk management frameworks that integrate ICT governance with business processes. These frameworks should:</w:t>
      </w:r>
    </w:p>
    <w:p w14:paraId="36AC8D12" w14:textId="77777777" w:rsidR="006A1372" w:rsidRPr="006A1372" w:rsidRDefault="006A1372" w:rsidP="006A1372">
      <w:pPr>
        <w:numPr>
          <w:ilvl w:val="0"/>
          <w:numId w:val="3"/>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Identify and assess ICT risks.</w:t>
      </w:r>
    </w:p>
    <w:p w14:paraId="14ACB2A6" w14:textId="77777777" w:rsidR="006A1372" w:rsidRPr="006A1372" w:rsidRDefault="006A1372" w:rsidP="006A1372">
      <w:pPr>
        <w:numPr>
          <w:ilvl w:val="0"/>
          <w:numId w:val="3"/>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Establish clear security objectives and performance indicators.</w:t>
      </w:r>
    </w:p>
    <w:p w14:paraId="404E4C3E" w14:textId="77777777" w:rsidR="006A1372" w:rsidRPr="006A1372" w:rsidRDefault="006A1372" w:rsidP="006A1372">
      <w:pPr>
        <w:numPr>
          <w:ilvl w:val="0"/>
          <w:numId w:val="3"/>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Document dependencies between business operations and ICT assets.</w:t>
      </w:r>
    </w:p>
    <w:p w14:paraId="16CFBA5F" w14:textId="77777777" w:rsid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Organisations should align their solution architecture, security policies, and operational logging with DORA’s risk management requirements.</w:t>
      </w:r>
    </w:p>
    <w:p w14:paraId="5244BF62" w14:textId="77777777" w:rsidR="006A1372" w:rsidRP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p>
    <w:p w14:paraId="3A2D8BCE" w14:textId="77777777" w:rsidR="006A1372" w:rsidRPr="006A1372" w:rsidRDefault="006A1372" w:rsidP="006A1372">
      <w:pPr>
        <w:spacing w:before="100" w:beforeAutospacing="1" w:after="100" w:afterAutospacing="1" w:line="240" w:lineRule="auto"/>
        <w:outlineLvl w:val="3"/>
        <w:rPr>
          <w:rFonts w:ascii="Arial" w:eastAsia="Times New Roman" w:hAnsi="Arial" w:cs="Arial"/>
          <w:b/>
          <w:bCs/>
          <w:kern w:val="0"/>
          <w:sz w:val="24"/>
          <w:szCs w:val="24"/>
          <w:lang w:eastAsia="en-GB"/>
          <w14:ligatures w14:val="none"/>
        </w:rPr>
      </w:pPr>
      <w:r w:rsidRPr="006A1372">
        <w:rPr>
          <w:rFonts w:ascii="Arial" w:eastAsia="Times New Roman" w:hAnsi="Arial" w:cs="Arial"/>
          <w:b/>
          <w:bCs/>
          <w:kern w:val="0"/>
          <w:sz w:val="24"/>
          <w:szCs w:val="24"/>
          <w:lang w:eastAsia="en-GB"/>
          <w14:ligatures w14:val="none"/>
        </w:rPr>
        <w:t>Operational Resilience</w:t>
      </w:r>
    </w:p>
    <w:p w14:paraId="005927A5" w14:textId="77777777" w:rsidR="006A1372" w:rsidRP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DORA emphasises business continuity and incident management, requiring firms to test their ICT systems against:</w:t>
      </w:r>
    </w:p>
    <w:p w14:paraId="77529531" w14:textId="77777777" w:rsidR="006A1372" w:rsidRPr="006A1372" w:rsidRDefault="006A1372" w:rsidP="006A1372">
      <w:pPr>
        <w:numPr>
          <w:ilvl w:val="0"/>
          <w:numId w:val="4"/>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Cybersecurity threats.</w:t>
      </w:r>
    </w:p>
    <w:p w14:paraId="3632781B" w14:textId="77777777" w:rsidR="006A1372" w:rsidRPr="006A1372" w:rsidRDefault="006A1372" w:rsidP="006A1372">
      <w:pPr>
        <w:numPr>
          <w:ilvl w:val="0"/>
          <w:numId w:val="4"/>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System outages and failures.</w:t>
      </w:r>
    </w:p>
    <w:p w14:paraId="49367D0C" w14:textId="77777777" w:rsidR="006A1372" w:rsidRPr="006A1372" w:rsidRDefault="006A1372" w:rsidP="006A1372">
      <w:pPr>
        <w:numPr>
          <w:ilvl w:val="0"/>
          <w:numId w:val="4"/>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Data corruption and loss.</w:t>
      </w:r>
    </w:p>
    <w:p w14:paraId="4A681C03" w14:textId="77777777" w:rsidR="006A1372" w:rsidRP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Non-functional testing, such as resilience and security assessments, should be prioritised to ensure systems can withstand disruptions.</w:t>
      </w:r>
    </w:p>
    <w:p w14:paraId="135C5862" w14:textId="77777777" w:rsidR="006A1372" w:rsidRDefault="006A1372" w:rsidP="006A1372">
      <w:pPr>
        <w:spacing w:before="100" w:beforeAutospacing="1" w:after="100" w:afterAutospacing="1" w:line="240" w:lineRule="auto"/>
        <w:outlineLvl w:val="3"/>
        <w:rPr>
          <w:rFonts w:ascii="Arial" w:eastAsia="Times New Roman" w:hAnsi="Arial" w:cs="Arial"/>
          <w:b/>
          <w:bCs/>
          <w:kern w:val="0"/>
          <w:sz w:val="24"/>
          <w:szCs w:val="24"/>
          <w:lang w:eastAsia="en-GB"/>
          <w14:ligatures w14:val="none"/>
        </w:rPr>
      </w:pPr>
    </w:p>
    <w:p w14:paraId="10473C3F" w14:textId="77777777" w:rsidR="006A1372" w:rsidRDefault="006A1372" w:rsidP="006A1372">
      <w:pPr>
        <w:spacing w:before="100" w:beforeAutospacing="1" w:after="100" w:afterAutospacing="1" w:line="240" w:lineRule="auto"/>
        <w:outlineLvl w:val="3"/>
        <w:rPr>
          <w:rFonts w:ascii="Arial" w:eastAsia="Times New Roman" w:hAnsi="Arial" w:cs="Arial"/>
          <w:b/>
          <w:bCs/>
          <w:kern w:val="0"/>
          <w:sz w:val="24"/>
          <w:szCs w:val="24"/>
          <w:lang w:eastAsia="en-GB"/>
          <w14:ligatures w14:val="none"/>
        </w:rPr>
      </w:pPr>
    </w:p>
    <w:p w14:paraId="17077316" w14:textId="437E57D4" w:rsidR="006A1372" w:rsidRPr="006A1372" w:rsidRDefault="006A1372" w:rsidP="006A1372">
      <w:pPr>
        <w:spacing w:before="100" w:beforeAutospacing="1" w:after="100" w:afterAutospacing="1" w:line="240" w:lineRule="auto"/>
        <w:outlineLvl w:val="3"/>
        <w:rPr>
          <w:rFonts w:ascii="Arial" w:eastAsia="Times New Roman" w:hAnsi="Arial" w:cs="Arial"/>
          <w:b/>
          <w:bCs/>
          <w:kern w:val="0"/>
          <w:sz w:val="24"/>
          <w:szCs w:val="24"/>
          <w:lang w:eastAsia="en-GB"/>
          <w14:ligatures w14:val="none"/>
        </w:rPr>
      </w:pPr>
      <w:r w:rsidRPr="006A1372">
        <w:rPr>
          <w:rFonts w:ascii="Arial" w:eastAsia="Times New Roman" w:hAnsi="Arial" w:cs="Arial"/>
          <w:b/>
          <w:bCs/>
          <w:kern w:val="0"/>
          <w:sz w:val="24"/>
          <w:szCs w:val="24"/>
          <w:lang w:eastAsia="en-GB"/>
          <w14:ligatures w14:val="none"/>
        </w:rPr>
        <w:lastRenderedPageBreak/>
        <w:t>ICT Third-Party Risk Management</w:t>
      </w:r>
    </w:p>
    <w:p w14:paraId="13D6DE39" w14:textId="77777777" w:rsidR="006A1372" w:rsidRP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Financial entities must conduct due diligence on third-party ICT providers to assess their security posture and resilience capabilities. Key areas include:</w:t>
      </w:r>
    </w:p>
    <w:p w14:paraId="3517F245" w14:textId="77777777" w:rsidR="006A1372" w:rsidRPr="006A1372" w:rsidRDefault="006A1372" w:rsidP="006A1372">
      <w:pPr>
        <w:numPr>
          <w:ilvl w:val="0"/>
          <w:numId w:val="5"/>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Clear contractual agreements defining roles and responsibilities.</w:t>
      </w:r>
    </w:p>
    <w:p w14:paraId="72B6186E" w14:textId="77777777" w:rsidR="006A1372" w:rsidRPr="006A1372" w:rsidRDefault="006A1372" w:rsidP="006A1372">
      <w:pPr>
        <w:numPr>
          <w:ilvl w:val="0"/>
          <w:numId w:val="5"/>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Risk assessments of subcontractors and external dependencies.</w:t>
      </w:r>
    </w:p>
    <w:p w14:paraId="4ED42C38" w14:textId="77777777" w:rsidR="006A1372" w:rsidRPr="006A1372" w:rsidRDefault="006A1372" w:rsidP="006A1372">
      <w:pPr>
        <w:numPr>
          <w:ilvl w:val="0"/>
          <w:numId w:val="5"/>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Contingency planning for vendor lock-in scenarios.</w:t>
      </w:r>
    </w:p>
    <w:p w14:paraId="3CB14EB7" w14:textId="77777777" w:rsid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DORA also introduces geographical risk considerations, requiring financial entities to evaluate third-party providers based in non-EU jurisdictions.</w:t>
      </w:r>
    </w:p>
    <w:p w14:paraId="5FDA9F45" w14:textId="77777777" w:rsidR="006A1372" w:rsidRP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p>
    <w:p w14:paraId="79258B4F" w14:textId="77777777" w:rsidR="006A1372" w:rsidRPr="006A1372" w:rsidRDefault="006A1372" w:rsidP="006A1372">
      <w:pPr>
        <w:spacing w:before="100" w:beforeAutospacing="1" w:after="100" w:afterAutospacing="1" w:line="240" w:lineRule="auto"/>
        <w:outlineLvl w:val="3"/>
        <w:rPr>
          <w:rFonts w:ascii="Arial" w:eastAsia="Times New Roman" w:hAnsi="Arial" w:cs="Arial"/>
          <w:b/>
          <w:bCs/>
          <w:kern w:val="0"/>
          <w:sz w:val="24"/>
          <w:szCs w:val="24"/>
          <w:lang w:eastAsia="en-GB"/>
          <w14:ligatures w14:val="none"/>
        </w:rPr>
      </w:pPr>
      <w:r w:rsidRPr="006A1372">
        <w:rPr>
          <w:rFonts w:ascii="Arial" w:eastAsia="Times New Roman" w:hAnsi="Arial" w:cs="Arial"/>
          <w:b/>
          <w:bCs/>
          <w:kern w:val="0"/>
          <w:sz w:val="24"/>
          <w:szCs w:val="24"/>
          <w:lang w:eastAsia="en-GB"/>
          <w14:ligatures w14:val="none"/>
        </w:rPr>
        <w:t>Information Sharing</w:t>
      </w:r>
    </w:p>
    <w:p w14:paraId="305E44D2" w14:textId="77777777" w:rsidR="006A1372" w:rsidRP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DORA encourages financial entities to share cyber threat intelligence within trusted communities to enhance collective resilience. Key actions include:</w:t>
      </w:r>
    </w:p>
    <w:p w14:paraId="2B82EE27" w14:textId="77777777" w:rsidR="006A1372" w:rsidRPr="006A1372" w:rsidRDefault="006A1372" w:rsidP="006A1372">
      <w:pPr>
        <w:numPr>
          <w:ilvl w:val="0"/>
          <w:numId w:val="6"/>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Establishing internal data-sharing mechanisms.</w:t>
      </w:r>
    </w:p>
    <w:p w14:paraId="58F71B0B" w14:textId="77777777" w:rsidR="006A1372" w:rsidRPr="006A1372" w:rsidRDefault="006A1372" w:rsidP="006A1372">
      <w:pPr>
        <w:numPr>
          <w:ilvl w:val="0"/>
          <w:numId w:val="6"/>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Aligning reporting structures with regulatory requirements.</w:t>
      </w:r>
    </w:p>
    <w:p w14:paraId="1AD55CC6" w14:textId="77777777" w:rsidR="006A1372" w:rsidRPr="006A1372" w:rsidRDefault="006A1372" w:rsidP="006A1372">
      <w:pPr>
        <w:numPr>
          <w:ilvl w:val="0"/>
          <w:numId w:val="6"/>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Ensuring threat intelligence is accurate, timely, and securely managed.</w:t>
      </w:r>
    </w:p>
    <w:p w14:paraId="0654E15D" w14:textId="06C8BD3D" w:rsidR="006A1372" w:rsidRDefault="006A1372" w:rsidP="006A1372">
      <w:pPr>
        <w:spacing w:after="0" w:line="240" w:lineRule="auto"/>
        <w:rPr>
          <w:rFonts w:ascii="Arial" w:eastAsia="Times New Roman" w:hAnsi="Arial" w:cs="Arial"/>
          <w:kern w:val="0"/>
          <w:sz w:val="24"/>
          <w:szCs w:val="24"/>
          <w:lang w:eastAsia="en-GB"/>
          <w14:ligatures w14:val="none"/>
        </w:rPr>
      </w:pPr>
    </w:p>
    <w:p w14:paraId="33B13C3C" w14:textId="77777777" w:rsidR="006A1372" w:rsidRPr="006A1372" w:rsidRDefault="006A1372" w:rsidP="006A1372">
      <w:pPr>
        <w:spacing w:after="0" w:line="240" w:lineRule="auto"/>
        <w:rPr>
          <w:rFonts w:ascii="Arial" w:eastAsia="Times New Roman" w:hAnsi="Arial" w:cs="Arial"/>
          <w:kern w:val="0"/>
          <w:sz w:val="24"/>
          <w:szCs w:val="24"/>
          <w:lang w:eastAsia="en-GB"/>
          <w14:ligatures w14:val="none"/>
        </w:rPr>
      </w:pPr>
    </w:p>
    <w:p w14:paraId="01566091" w14:textId="77777777" w:rsidR="006A1372" w:rsidRPr="006A1372" w:rsidRDefault="006A1372" w:rsidP="006A1372">
      <w:pPr>
        <w:spacing w:before="100" w:beforeAutospacing="1" w:after="100" w:afterAutospacing="1" w:line="240" w:lineRule="auto"/>
        <w:outlineLvl w:val="2"/>
        <w:rPr>
          <w:rFonts w:ascii="Arial" w:eastAsia="Times New Roman" w:hAnsi="Arial" w:cs="Arial"/>
          <w:b/>
          <w:bCs/>
          <w:kern w:val="0"/>
          <w:sz w:val="27"/>
          <w:szCs w:val="27"/>
          <w:lang w:eastAsia="en-GB"/>
          <w14:ligatures w14:val="none"/>
        </w:rPr>
      </w:pPr>
      <w:r w:rsidRPr="006A1372">
        <w:rPr>
          <w:rFonts w:ascii="Arial" w:eastAsia="Times New Roman" w:hAnsi="Arial" w:cs="Arial"/>
          <w:b/>
          <w:bCs/>
          <w:kern w:val="0"/>
          <w:sz w:val="27"/>
          <w:szCs w:val="27"/>
          <w:lang w:eastAsia="en-GB"/>
          <w14:ligatures w14:val="none"/>
        </w:rPr>
        <w:t>Implementation Best Practices</w:t>
      </w:r>
    </w:p>
    <w:p w14:paraId="69C33B7E" w14:textId="77777777" w:rsidR="006A1372" w:rsidRP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To comply with DORA, organisations should adopt the following best practices:</w:t>
      </w:r>
    </w:p>
    <w:p w14:paraId="01CE400C" w14:textId="77777777" w:rsidR="006A1372" w:rsidRPr="006A1372" w:rsidRDefault="006A1372" w:rsidP="006A1372">
      <w:pPr>
        <w:numPr>
          <w:ilvl w:val="0"/>
          <w:numId w:val="7"/>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b/>
          <w:bCs/>
          <w:kern w:val="0"/>
          <w:sz w:val="24"/>
          <w:szCs w:val="24"/>
          <w:lang w:eastAsia="en-GB"/>
          <w14:ligatures w14:val="none"/>
        </w:rPr>
        <w:t>Enhance ICT Governance</w:t>
      </w:r>
      <w:r w:rsidRPr="006A1372">
        <w:rPr>
          <w:rFonts w:ascii="Arial" w:eastAsia="Times New Roman" w:hAnsi="Arial" w:cs="Arial"/>
          <w:kern w:val="0"/>
          <w:sz w:val="24"/>
          <w:szCs w:val="24"/>
          <w:lang w:eastAsia="en-GB"/>
          <w14:ligatures w14:val="none"/>
        </w:rPr>
        <w:t xml:space="preserve"> – Implement a structured governance framework with clear risk ownership.</w:t>
      </w:r>
    </w:p>
    <w:p w14:paraId="607BC12F" w14:textId="77777777" w:rsidR="006A1372" w:rsidRPr="006A1372" w:rsidRDefault="006A1372" w:rsidP="006A1372">
      <w:pPr>
        <w:numPr>
          <w:ilvl w:val="0"/>
          <w:numId w:val="7"/>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b/>
          <w:bCs/>
          <w:kern w:val="0"/>
          <w:sz w:val="24"/>
          <w:szCs w:val="24"/>
          <w:lang w:eastAsia="en-GB"/>
          <w14:ligatures w14:val="none"/>
        </w:rPr>
        <w:t>Strengthen Security Measures</w:t>
      </w:r>
      <w:r w:rsidRPr="006A1372">
        <w:rPr>
          <w:rFonts w:ascii="Arial" w:eastAsia="Times New Roman" w:hAnsi="Arial" w:cs="Arial"/>
          <w:kern w:val="0"/>
          <w:sz w:val="24"/>
          <w:szCs w:val="24"/>
          <w:lang w:eastAsia="en-GB"/>
          <w14:ligatures w14:val="none"/>
        </w:rPr>
        <w:t xml:space="preserve"> – Deploy advanced logging, monitoring, and alerting tools.</w:t>
      </w:r>
    </w:p>
    <w:p w14:paraId="06AF0418" w14:textId="77777777" w:rsidR="006A1372" w:rsidRPr="006A1372" w:rsidRDefault="006A1372" w:rsidP="006A1372">
      <w:pPr>
        <w:numPr>
          <w:ilvl w:val="0"/>
          <w:numId w:val="7"/>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b/>
          <w:bCs/>
          <w:kern w:val="0"/>
          <w:sz w:val="24"/>
          <w:szCs w:val="24"/>
          <w:lang w:eastAsia="en-GB"/>
          <w14:ligatures w14:val="none"/>
        </w:rPr>
        <w:t>Conduct Regular Testing</w:t>
      </w:r>
      <w:r w:rsidRPr="006A1372">
        <w:rPr>
          <w:rFonts w:ascii="Arial" w:eastAsia="Times New Roman" w:hAnsi="Arial" w:cs="Arial"/>
          <w:kern w:val="0"/>
          <w:sz w:val="24"/>
          <w:szCs w:val="24"/>
          <w:lang w:eastAsia="en-GB"/>
          <w14:ligatures w14:val="none"/>
        </w:rPr>
        <w:t xml:space="preserve"> – Perform resilience testing, including penetration testing and disaster recovery simulations.</w:t>
      </w:r>
    </w:p>
    <w:p w14:paraId="033CB2F0" w14:textId="77777777" w:rsidR="006A1372" w:rsidRPr="006A1372" w:rsidRDefault="006A1372" w:rsidP="006A1372">
      <w:pPr>
        <w:numPr>
          <w:ilvl w:val="0"/>
          <w:numId w:val="7"/>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b/>
          <w:bCs/>
          <w:kern w:val="0"/>
          <w:sz w:val="24"/>
          <w:szCs w:val="24"/>
          <w:lang w:eastAsia="en-GB"/>
          <w14:ligatures w14:val="none"/>
        </w:rPr>
        <w:t>Define Clear Roles &amp; Responsibilities</w:t>
      </w:r>
      <w:r w:rsidRPr="006A1372">
        <w:rPr>
          <w:rFonts w:ascii="Arial" w:eastAsia="Times New Roman" w:hAnsi="Arial" w:cs="Arial"/>
          <w:kern w:val="0"/>
          <w:sz w:val="24"/>
          <w:szCs w:val="24"/>
          <w:lang w:eastAsia="en-GB"/>
          <w14:ligatures w14:val="none"/>
        </w:rPr>
        <w:t xml:space="preserve"> – Establish clear engagement terms for ICT providers and internal stakeholders.</w:t>
      </w:r>
    </w:p>
    <w:p w14:paraId="4AA946BA" w14:textId="77777777" w:rsidR="006A1372" w:rsidRPr="006A1372" w:rsidRDefault="006A1372" w:rsidP="006A1372">
      <w:pPr>
        <w:numPr>
          <w:ilvl w:val="0"/>
          <w:numId w:val="7"/>
        </w:num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b/>
          <w:bCs/>
          <w:kern w:val="0"/>
          <w:sz w:val="24"/>
          <w:szCs w:val="24"/>
          <w:lang w:eastAsia="en-GB"/>
          <w14:ligatures w14:val="none"/>
        </w:rPr>
        <w:t>Maintain Robust Documentation</w:t>
      </w:r>
      <w:r w:rsidRPr="006A1372">
        <w:rPr>
          <w:rFonts w:ascii="Arial" w:eastAsia="Times New Roman" w:hAnsi="Arial" w:cs="Arial"/>
          <w:kern w:val="0"/>
          <w:sz w:val="24"/>
          <w:szCs w:val="24"/>
          <w:lang w:eastAsia="en-GB"/>
          <w14:ligatures w14:val="none"/>
        </w:rPr>
        <w:t xml:space="preserve"> – Ensure compliance through comprehensive security policies, change logs, and operational reports.</w:t>
      </w:r>
    </w:p>
    <w:p w14:paraId="5B0B277C" w14:textId="5E108C8C" w:rsidR="006A1372" w:rsidRPr="006A1372" w:rsidRDefault="006A1372" w:rsidP="006A1372">
      <w:pPr>
        <w:spacing w:after="0" w:line="240" w:lineRule="auto"/>
        <w:rPr>
          <w:rFonts w:ascii="Arial" w:eastAsia="Times New Roman" w:hAnsi="Arial" w:cs="Arial"/>
          <w:kern w:val="0"/>
          <w:sz w:val="24"/>
          <w:szCs w:val="24"/>
          <w:lang w:eastAsia="en-GB"/>
          <w14:ligatures w14:val="none"/>
        </w:rPr>
      </w:pPr>
    </w:p>
    <w:p w14:paraId="338E20A8" w14:textId="77777777" w:rsidR="006A1372" w:rsidRDefault="006A1372" w:rsidP="006A1372">
      <w:pPr>
        <w:spacing w:before="100" w:beforeAutospacing="1" w:after="100" w:afterAutospacing="1" w:line="240" w:lineRule="auto"/>
        <w:outlineLvl w:val="2"/>
        <w:rPr>
          <w:rFonts w:ascii="Arial" w:eastAsia="Times New Roman" w:hAnsi="Arial" w:cs="Arial"/>
          <w:b/>
          <w:bCs/>
          <w:kern w:val="0"/>
          <w:sz w:val="27"/>
          <w:szCs w:val="27"/>
          <w:lang w:eastAsia="en-GB"/>
          <w14:ligatures w14:val="none"/>
        </w:rPr>
      </w:pPr>
    </w:p>
    <w:p w14:paraId="62D4E4CE" w14:textId="77777777" w:rsidR="006A1372" w:rsidRDefault="006A1372" w:rsidP="006A1372">
      <w:pPr>
        <w:spacing w:before="100" w:beforeAutospacing="1" w:after="100" w:afterAutospacing="1" w:line="240" w:lineRule="auto"/>
        <w:outlineLvl w:val="2"/>
        <w:rPr>
          <w:rFonts w:ascii="Arial" w:eastAsia="Times New Roman" w:hAnsi="Arial" w:cs="Arial"/>
          <w:b/>
          <w:bCs/>
          <w:kern w:val="0"/>
          <w:sz w:val="27"/>
          <w:szCs w:val="27"/>
          <w:lang w:eastAsia="en-GB"/>
          <w14:ligatures w14:val="none"/>
        </w:rPr>
      </w:pPr>
    </w:p>
    <w:p w14:paraId="395E6A5B" w14:textId="77777777" w:rsidR="006A1372" w:rsidRDefault="006A1372" w:rsidP="006A1372">
      <w:pPr>
        <w:spacing w:before="100" w:beforeAutospacing="1" w:after="100" w:afterAutospacing="1" w:line="240" w:lineRule="auto"/>
        <w:outlineLvl w:val="2"/>
        <w:rPr>
          <w:rFonts w:ascii="Arial" w:eastAsia="Times New Roman" w:hAnsi="Arial" w:cs="Arial"/>
          <w:b/>
          <w:bCs/>
          <w:kern w:val="0"/>
          <w:sz w:val="27"/>
          <w:szCs w:val="27"/>
          <w:lang w:eastAsia="en-GB"/>
          <w14:ligatures w14:val="none"/>
        </w:rPr>
      </w:pPr>
    </w:p>
    <w:p w14:paraId="55F6AFB0" w14:textId="69AD5338" w:rsidR="006A1372" w:rsidRPr="006A1372" w:rsidRDefault="006A1372" w:rsidP="006A1372">
      <w:pPr>
        <w:spacing w:before="100" w:beforeAutospacing="1" w:after="100" w:afterAutospacing="1" w:line="240" w:lineRule="auto"/>
        <w:outlineLvl w:val="2"/>
        <w:rPr>
          <w:rFonts w:ascii="Arial" w:eastAsia="Times New Roman" w:hAnsi="Arial" w:cs="Arial"/>
          <w:b/>
          <w:bCs/>
          <w:kern w:val="0"/>
          <w:sz w:val="27"/>
          <w:szCs w:val="27"/>
          <w:lang w:eastAsia="en-GB"/>
          <w14:ligatures w14:val="none"/>
        </w:rPr>
      </w:pPr>
      <w:r w:rsidRPr="006A1372">
        <w:rPr>
          <w:rFonts w:ascii="Arial" w:eastAsia="Times New Roman" w:hAnsi="Arial" w:cs="Arial"/>
          <w:b/>
          <w:bCs/>
          <w:kern w:val="0"/>
          <w:sz w:val="27"/>
          <w:szCs w:val="27"/>
          <w:lang w:eastAsia="en-GB"/>
          <w14:ligatures w14:val="none"/>
        </w:rPr>
        <w:lastRenderedPageBreak/>
        <w:t>Conclusion</w:t>
      </w:r>
    </w:p>
    <w:p w14:paraId="73BEE580" w14:textId="77777777" w:rsidR="006A1372" w:rsidRP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DORA introduces a structured approach to ICT risk management, reinforcing cybersecurity and resilience practices across the financial sector. Compliance requires a proactive stance on security, operational resilience, and third-party risk management.</w:t>
      </w:r>
    </w:p>
    <w:p w14:paraId="7D775549" w14:textId="77777777" w:rsidR="006A1372" w:rsidRPr="006A1372" w:rsidRDefault="006A1372" w:rsidP="006A1372">
      <w:pPr>
        <w:spacing w:before="100" w:beforeAutospacing="1" w:after="100" w:afterAutospacing="1" w:line="240" w:lineRule="auto"/>
        <w:rPr>
          <w:rFonts w:ascii="Arial" w:eastAsia="Times New Roman" w:hAnsi="Arial" w:cs="Arial"/>
          <w:kern w:val="0"/>
          <w:sz w:val="24"/>
          <w:szCs w:val="24"/>
          <w:lang w:eastAsia="en-GB"/>
          <w14:ligatures w14:val="none"/>
        </w:rPr>
      </w:pPr>
      <w:r w:rsidRPr="006A1372">
        <w:rPr>
          <w:rFonts w:ascii="Arial" w:eastAsia="Times New Roman" w:hAnsi="Arial" w:cs="Arial"/>
          <w:kern w:val="0"/>
          <w:sz w:val="24"/>
          <w:szCs w:val="24"/>
          <w:lang w:eastAsia="en-GB"/>
          <w14:ligatures w14:val="none"/>
        </w:rPr>
        <w:t>Organisations should view DORA not merely as a regulatory burden but as an opportunity to improve ICT governance, enhance risk visibility, and fortify operational resilience.</w:t>
      </w:r>
    </w:p>
    <w:p w14:paraId="147389FD" w14:textId="77777777" w:rsidR="00673378" w:rsidRPr="006A1372" w:rsidRDefault="00673378">
      <w:pPr>
        <w:rPr>
          <w:rFonts w:ascii="Arial" w:hAnsi="Arial" w:cs="Arial"/>
        </w:rPr>
      </w:pPr>
    </w:p>
    <w:sectPr w:rsidR="00673378" w:rsidRPr="006A1372">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78F60E" w14:textId="77777777" w:rsidR="00965655" w:rsidRDefault="00965655" w:rsidP="006A1372">
      <w:pPr>
        <w:spacing w:after="0" w:line="240" w:lineRule="auto"/>
      </w:pPr>
      <w:r>
        <w:separator/>
      </w:r>
    </w:p>
  </w:endnote>
  <w:endnote w:type="continuationSeparator" w:id="0">
    <w:p w14:paraId="1C03A215" w14:textId="77777777" w:rsidR="00965655" w:rsidRDefault="00965655" w:rsidP="006A1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8296095"/>
      <w:docPartObj>
        <w:docPartGallery w:val="Page Numbers (Bottom of Page)"/>
        <w:docPartUnique/>
      </w:docPartObj>
    </w:sdtPr>
    <w:sdtContent>
      <w:p w14:paraId="2CE39E85" w14:textId="19CF7751" w:rsidR="006A1372" w:rsidRDefault="006A1372">
        <w:pPr>
          <w:pStyle w:val="Footer"/>
          <w:jc w:val="right"/>
        </w:pPr>
        <w:r>
          <w:fldChar w:fldCharType="begin"/>
        </w:r>
        <w:r>
          <w:instrText>PAGE   \* MERGEFORMAT</w:instrText>
        </w:r>
        <w:r>
          <w:fldChar w:fldCharType="separate"/>
        </w:r>
        <w:r>
          <w:t>2</w:t>
        </w:r>
        <w:r>
          <w:fldChar w:fldCharType="end"/>
        </w:r>
      </w:p>
    </w:sdtContent>
  </w:sdt>
  <w:p w14:paraId="3A48FD14" w14:textId="77777777" w:rsidR="006A1372" w:rsidRDefault="006A13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EFEB59" w14:textId="77777777" w:rsidR="00965655" w:rsidRDefault="00965655" w:rsidP="006A1372">
      <w:pPr>
        <w:spacing w:after="0" w:line="240" w:lineRule="auto"/>
      </w:pPr>
      <w:r>
        <w:separator/>
      </w:r>
    </w:p>
  </w:footnote>
  <w:footnote w:type="continuationSeparator" w:id="0">
    <w:p w14:paraId="11645359" w14:textId="77777777" w:rsidR="00965655" w:rsidRDefault="00965655" w:rsidP="006A13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64B963" w14:textId="4735A7B1" w:rsidR="006A1372" w:rsidRDefault="006A1372" w:rsidP="006A1372">
    <w:pPr>
      <w:pStyle w:val="Header"/>
      <w:jc w:val="right"/>
    </w:pPr>
    <w:r>
      <w:rPr>
        <w:noProof/>
      </w:rPr>
      <w:drawing>
        <wp:inline distT="0" distB="0" distL="0" distR="0" wp14:anchorId="58EC07D3" wp14:editId="469A4EDD">
          <wp:extent cx="1111885" cy="555943"/>
          <wp:effectExtent l="0" t="0" r="0" b="0"/>
          <wp:docPr id="594373962" name="Picture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373962" name="Picture 1" descr="A black and white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123832" cy="561916"/>
                  </a:xfrm>
                  <a:prstGeom prst="rect">
                    <a:avLst/>
                  </a:prstGeom>
                </pic:spPr>
              </pic:pic>
            </a:graphicData>
          </a:graphic>
        </wp:inline>
      </w:drawing>
    </w:r>
  </w:p>
  <w:p w14:paraId="2017239E" w14:textId="77777777" w:rsidR="006A1372" w:rsidRDefault="006A13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64CB7"/>
    <w:multiLevelType w:val="multilevel"/>
    <w:tmpl w:val="A9965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A10E74"/>
    <w:multiLevelType w:val="multilevel"/>
    <w:tmpl w:val="5448C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1F49CA"/>
    <w:multiLevelType w:val="multilevel"/>
    <w:tmpl w:val="0C1A8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B4161A"/>
    <w:multiLevelType w:val="multilevel"/>
    <w:tmpl w:val="54942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88A2497"/>
    <w:multiLevelType w:val="multilevel"/>
    <w:tmpl w:val="FEC0B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D0908F4"/>
    <w:multiLevelType w:val="multilevel"/>
    <w:tmpl w:val="5FB29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D2E1F5F"/>
    <w:multiLevelType w:val="multilevel"/>
    <w:tmpl w:val="54D86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33604021">
    <w:abstractNumId w:val="2"/>
  </w:num>
  <w:num w:numId="2" w16cid:durableId="1937134049">
    <w:abstractNumId w:val="5"/>
  </w:num>
  <w:num w:numId="3" w16cid:durableId="1670595291">
    <w:abstractNumId w:val="6"/>
  </w:num>
  <w:num w:numId="4" w16cid:durableId="151140546">
    <w:abstractNumId w:val="0"/>
  </w:num>
  <w:num w:numId="5" w16cid:durableId="2116244631">
    <w:abstractNumId w:val="1"/>
  </w:num>
  <w:num w:numId="6" w16cid:durableId="1994285546">
    <w:abstractNumId w:val="3"/>
  </w:num>
  <w:num w:numId="7" w16cid:durableId="15674933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5D6"/>
    <w:rsid w:val="003015D6"/>
    <w:rsid w:val="00370F6C"/>
    <w:rsid w:val="00673378"/>
    <w:rsid w:val="006A1372"/>
    <w:rsid w:val="00937244"/>
    <w:rsid w:val="009656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22E809"/>
  <w15:chartTrackingRefBased/>
  <w15:docId w15:val="{5BC71C63-7277-49AD-8A9B-6290F250D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15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15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15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15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15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15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15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15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15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15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15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15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15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15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15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15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15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15D6"/>
    <w:rPr>
      <w:rFonts w:eastAsiaTheme="majorEastAsia" w:cstheme="majorBidi"/>
      <w:color w:val="272727" w:themeColor="text1" w:themeTint="D8"/>
    </w:rPr>
  </w:style>
  <w:style w:type="paragraph" w:styleId="Title">
    <w:name w:val="Title"/>
    <w:basedOn w:val="Normal"/>
    <w:next w:val="Normal"/>
    <w:link w:val="TitleChar"/>
    <w:uiPriority w:val="10"/>
    <w:qFormat/>
    <w:rsid w:val="003015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15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15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15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15D6"/>
    <w:pPr>
      <w:spacing w:before="160"/>
      <w:jc w:val="center"/>
    </w:pPr>
    <w:rPr>
      <w:i/>
      <w:iCs/>
      <w:color w:val="404040" w:themeColor="text1" w:themeTint="BF"/>
    </w:rPr>
  </w:style>
  <w:style w:type="character" w:customStyle="1" w:styleId="QuoteChar">
    <w:name w:val="Quote Char"/>
    <w:basedOn w:val="DefaultParagraphFont"/>
    <w:link w:val="Quote"/>
    <w:uiPriority w:val="29"/>
    <w:rsid w:val="003015D6"/>
    <w:rPr>
      <w:i/>
      <w:iCs/>
      <w:color w:val="404040" w:themeColor="text1" w:themeTint="BF"/>
    </w:rPr>
  </w:style>
  <w:style w:type="paragraph" w:styleId="ListParagraph">
    <w:name w:val="List Paragraph"/>
    <w:basedOn w:val="Normal"/>
    <w:uiPriority w:val="34"/>
    <w:qFormat/>
    <w:rsid w:val="003015D6"/>
    <w:pPr>
      <w:ind w:left="720"/>
      <w:contextualSpacing/>
    </w:pPr>
  </w:style>
  <w:style w:type="character" w:styleId="IntenseEmphasis">
    <w:name w:val="Intense Emphasis"/>
    <w:basedOn w:val="DefaultParagraphFont"/>
    <w:uiPriority w:val="21"/>
    <w:qFormat/>
    <w:rsid w:val="003015D6"/>
    <w:rPr>
      <w:i/>
      <w:iCs/>
      <w:color w:val="0F4761" w:themeColor="accent1" w:themeShade="BF"/>
    </w:rPr>
  </w:style>
  <w:style w:type="paragraph" w:styleId="IntenseQuote">
    <w:name w:val="Intense Quote"/>
    <w:basedOn w:val="Normal"/>
    <w:next w:val="Normal"/>
    <w:link w:val="IntenseQuoteChar"/>
    <w:uiPriority w:val="30"/>
    <w:qFormat/>
    <w:rsid w:val="003015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15D6"/>
    <w:rPr>
      <w:i/>
      <w:iCs/>
      <w:color w:val="0F4761" w:themeColor="accent1" w:themeShade="BF"/>
    </w:rPr>
  </w:style>
  <w:style w:type="character" w:styleId="IntenseReference">
    <w:name w:val="Intense Reference"/>
    <w:basedOn w:val="DefaultParagraphFont"/>
    <w:uiPriority w:val="32"/>
    <w:qFormat/>
    <w:rsid w:val="003015D6"/>
    <w:rPr>
      <w:b/>
      <w:bCs/>
      <w:smallCaps/>
      <w:color w:val="0F4761" w:themeColor="accent1" w:themeShade="BF"/>
      <w:spacing w:val="5"/>
    </w:rPr>
  </w:style>
  <w:style w:type="paragraph" w:styleId="Header">
    <w:name w:val="header"/>
    <w:basedOn w:val="Normal"/>
    <w:link w:val="HeaderChar"/>
    <w:uiPriority w:val="99"/>
    <w:unhideWhenUsed/>
    <w:rsid w:val="006A13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1372"/>
  </w:style>
  <w:style w:type="paragraph" w:styleId="Footer">
    <w:name w:val="footer"/>
    <w:basedOn w:val="Normal"/>
    <w:link w:val="FooterChar"/>
    <w:uiPriority w:val="99"/>
    <w:unhideWhenUsed/>
    <w:rsid w:val="006A13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13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7819373">
      <w:bodyDiv w:val="1"/>
      <w:marLeft w:val="0"/>
      <w:marRight w:val="0"/>
      <w:marTop w:val="0"/>
      <w:marBottom w:val="0"/>
      <w:divBdr>
        <w:top w:val="none" w:sz="0" w:space="0" w:color="auto"/>
        <w:left w:val="none" w:sz="0" w:space="0" w:color="auto"/>
        <w:bottom w:val="none" w:sz="0" w:space="0" w:color="auto"/>
        <w:right w:val="none" w:sz="0" w:space="0" w:color="auto"/>
      </w:divBdr>
      <w:divsChild>
        <w:div w:id="11156248">
          <w:marLeft w:val="0"/>
          <w:marRight w:val="0"/>
          <w:marTop w:val="0"/>
          <w:marBottom w:val="0"/>
          <w:divBdr>
            <w:top w:val="none" w:sz="0" w:space="0" w:color="auto"/>
            <w:left w:val="none" w:sz="0" w:space="0" w:color="auto"/>
            <w:bottom w:val="none" w:sz="0" w:space="0" w:color="auto"/>
            <w:right w:val="none" w:sz="0" w:space="0" w:color="auto"/>
          </w:divBdr>
        </w:div>
        <w:div w:id="1796410849">
          <w:marLeft w:val="0"/>
          <w:marRight w:val="0"/>
          <w:marTop w:val="0"/>
          <w:marBottom w:val="0"/>
          <w:divBdr>
            <w:top w:val="none" w:sz="0" w:space="0" w:color="auto"/>
            <w:left w:val="none" w:sz="0" w:space="0" w:color="auto"/>
            <w:bottom w:val="none" w:sz="0" w:space="0" w:color="auto"/>
            <w:right w:val="none" w:sz="0" w:space="0" w:color="auto"/>
          </w:divBdr>
        </w:div>
        <w:div w:id="330912487">
          <w:marLeft w:val="0"/>
          <w:marRight w:val="0"/>
          <w:marTop w:val="0"/>
          <w:marBottom w:val="0"/>
          <w:divBdr>
            <w:top w:val="none" w:sz="0" w:space="0" w:color="auto"/>
            <w:left w:val="none" w:sz="0" w:space="0" w:color="auto"/>
            <w:bottom w:val="none" w:sz="0" w:space="0" w:color="auto"/>
            <w:right w:val="none" w:sz="0" w:space="0" w:color="auto"/>
          </w:divBdr>
        </w:div>
        <w:div w:id="1620114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736</Words>
  <Characters>4199</Characters>
  <Application>Microsoft Office Word</Application>
  <DocSecurity>0</DocSecurity>
  <Lines>34</Lines>
  <Paragraphs>9</Paragraphs>
  <ScaleCrop>false</ScaleCrop>
  <Company/>
  <LinksUpToDate>false</LinksUpToDate>
  <CharactersWithSpaces>4926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Adams</dc:creator>
  <cp:keywords/>
  <dc:description/>
  <cp:lastModifiedBy>Nicola Adams</cp:lastModifiedBy>
  <cp:revision>3</cp:revision>
  <cp:lastPrinted>2025-03-06T14:37:00Z</cp:lastPrinted>
  <dcterms:created xsi:type="dcterms:W3CDTF">2025-03-06T14:31:00Z</dcterms:created>
  <dcterms:modified xsi:type="dcterms:W3CDTF">2025-03-06T14:37:00Z</dcterms:modified>
</cp:coreProperties>
</file>